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44B50">
      <w:pPr>
        <w:pStyle w:val="4"/>
        <w:widowControl w:val="0"/>
        <w:tabs>
          <w:tab w:val="left" w:pos="1346"/>
        </w:tabs>
        <w:autoSpaceDE w:val="0"/>
        <w:autoSpaceDN w:val="0"/>
        <w:spacing w:line="360" w:lineRule="auto"/>
        <w:ind w:left="0" w:right="116" w:firstLine="709"/>
        <w:jc w:val="center"/>
        <w:rPr>
          <w:rFonts w:hint="default" w:ascii="Times New Roman" w:cs="Times New Roman"/>
          <w:b/>
          <w:bCs/>
          <w:color w:val="auto"/>
          <w:sz w:val="28"/>
          <w:szCs w:val="28"/>
          <w:u w:val="none"/>
          <w:lang w:val="ru-RU"/>
        </w:rPr>
      </w:pPr>
      <w:r>
        <w:rPr>
          <w:rFonts w:ascii="Times New Roman" w:cs="Times New Roman"/>
          <w:b/>
          <w:bCs/>
          <w:color w:val="auto"/>
          <w:sz w:val="28"/>
          <w:szCs w:val="28"/>
          <w:u w:val="none"/>
          <w:lang w:val="ru-RU"/>
        </w:rPr>
        <w:t>УСЛОВИЯ</w:t>
      </w:r>
      <w:r>
        <w:rPr>
          <w:rFonts w:hint="default" w:asci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 ПРИЕМА НА ОБУЧЕНИЕ ПО ДОГОВОРАМ ОБ ОКАЗАНИИ ПЛАТНЫХ ОБРАЗОВАТЕЛЬНЫХ УСЛУГ</w:t>
      </w:r>
    </w:p>
    <w:p w14:paraId="19945554">
      <w:pPr>
        <w:pStyle w:val="4"/>
        <w:widowControl w:val="0"/>
        <w:tabs>
          <w:tab w:val="left" w:pos="1346"/>
        </w:tabs>
        <w:autoSpaceDE w:val="0"/>
        <w:autoSpaceDN w:val="0"/>
        <w:spacing w:line="360" w:lineRule="auto"/>
        <w:ind w:left="0" w:right="116" w:firstLine="709"/>
        <w:jc w:val="center"/>
        <w:rPr>
          <w:rFonts w:hint="default" w:asci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>(правила приема 2025 п. 1.11, 1.12)</w:t>
      </w:r>
      <w:bookmarkStart w:id="0" w:name="_GoBack"/>
      <w:bookmarkEnd w:id="0"/>
    </w:p>
    <w:p w14:paraId="4C610C35">
      <w:pPr>
        <w:pStyle w:val="4"/>
        <w:widowControl w:val="0"/>
        <w:tabs>
          <w:tab w:val="left" w:pos="1346"/>
        </w:tabs>
        <w:autoSpaceDE w:val="0"/>
        <w:autoSpaceDN w:val="0"/>
        <w:spacing w:line="360" w:lineRule="auto"/>
        <w:ind w:left="0" w:right="116" w:firstLine="709"/>
        <w:jc w:val="both"/>
        <w:rPr>
          <w:rFonts w:ascii="Times New Roman" w:cs="Times New Roman"/>
          <w:color w:val="auto"/>
          <w:sz w:val="28"/>
          <w:szCs w:val="28"/>
        </w:rPr>
      </w:pPr>
    </w:p>
    <w:p w14:paraId="06662A42">
      <w:pPr>
        <w:pStyle w:val="4"/>
        <w:widowControl w:val="0"/>
        <w:tabs>
          <w:tab w:val="left" w:pos="1346"/>
        </w:tabs>
        <w:autoSpaceDE w:val="0"/>
        <w:autoSpaceDN w:val="0"/>
        <w:spacing w:line="360" w:lineRule="auto"/>
        <w:ind w:left="0" w:right="116" w:firstLine="709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hint="default" w:ascii="Times New Roman" w:cs="Times New Roman"/>
          <w:color w:val="auto"/>
          <w:sz w:val="28"/>
          <w:szCs w:val="28"/>
          <w:lang w:val="ru-RU"/>
        </w:rPr>
        <w:t>1.</w:t>
      </w:r>
      <w:r>
        <w:rPr>
          <w:rFonts w:ascii="Times New Roman" w:cs="Times New Roman"/>
          <w:color w:val="auto"/>
          <w:sz w:val="28"/>
          <w:szCs w:val="28"/>
        </w:rPr>
        <w:t xml:space="preserve"> Количество мест приема студентов на первый курс, обучающихся за счет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средств Федерального бюджета, </w:t>
      </w:r>
      <w:r>
        <w:rPr>
          <w:rFonts w:ascii="Times New Roman" w:cs="Times New Roman"/>
          <w:color w:val="auto"/>
          <w:sz w:val="28"/>
          <w:szCs w:val="28"/>
        </w:rPr>
        <w:t>Республиканского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бюджета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Донецкой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Народной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Республики,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определяется</w:t>
      </w:r>
      <w:r>
        <w:rPr>
          <w:rFonts w:asci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контрольными</w:t>
      </w:r>
      <w:r>
        <w:rPr>
          <w:rFonts w:asci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цифрами</w:t>
      </w:r>
      <w:r>
        <w:rPr>
          <w:rFonts w:asci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приема,</w:t>
      </w:r>
      <w:r>
        <w:rPr>
          <w:rFonts w:asci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установленными</w:t>
      </w:r>
      <w:r>
        <w:rPr>
          <w:rFonts w:asci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Министерством</w:t>
      </w:r>
      <w:r>
        <w:rPr>
          <w:rFonts w:asci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образования</w:t>
      </w:r>
      <w:r>
        <w:rPr>
          <w:rFonts w:asci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и</w:t>
      </w:r>
      <w:r>
        <w:rPr>
          <w:rFonts w:asci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науки</w:t>
      </w:r>
      <w:r>
        <w:rPr>
          <w:rFonts w:asci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Донецкой</w:t>
      </w:r>
      <w:r>
        <w:rPr>
          <w:rFonts w:asci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Народной</w:t>
      </w:r>
      <w:r>
        <w:rPr>
          <w:rFonts w:asci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Республики. Свыше контрольных цифр приема ГБПОУ «ДПЭК» осуществляет прием граждан на основе договора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об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оказании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платных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образовательных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услуг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за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счет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средств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физического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и</w:t>
      </w:r>
      <w:r>
        <w:rPr>
          <w:rFonts w:asci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(или)</w:t>
      </w:r>
      <w:r>
        <w:rPr>
          <w:rFonts w:asci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юридического лица</w:t>
      </w:r>
    </w:p>
    <w:p w14:paraId="26A6F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Прием на обучение по договорам об оказании платных образовательных услуг за счет средств физических и (или) юридических лиц проводится в соответствии с Условиями приема на обучение в ГБПОУ «ДПЭК» по договорам об оказании платных образовательных услуг. </w:t>
      </w:r>
    </w:p>
    <w:p w14:paraId="69EA581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6036C"/>
    <w:rsid w:val="4259677B"/>
    <w:rsid w:val="7AF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08"/>
    </w:pPr>
    <w:rPr>
      <w:rFonts w:ascii="Arial Unicode MS" w:hAnsi="Times New Roman" w:eastAsia="Times New Roman" w:cs="Arial Unicode MS"/>
      <w:color w:val="00000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MSI</dc:creator>
  <cp:lastModifiedBy>MSI</cp:lastModifiedBy>
  <dcterms:modified xsi:type="dcterms:W3CDTF">2025-03-13T11:21:26Z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E14F7ADA688E493EBD9C3FC1CAD8133F_12</vt:lpwstr>
  </property>
</Properties>
</file>